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3"/>
        <w:gridCol w:w="6175"/>
        <w:gridCol w:w="7371"/>
      </w:tblGrid>
      <w:tr w:rsidR="008C19C3" w14:paraId="77B2FFCF" w14:textId="77777777" w:rsidTr="003A49C2">
        <w:tc>
          <w:tcPr>
            <w:tcW w:w="483" w:type="dxa"/>
          </w:tcPr>
          <w:p w14:paraId="27BCB3A5" w14:textId="77777777" w:rsidR="00247953" w:rsidRPr="001E7237" w:rsidRDefault="00337FFB" w:rsidP="00E14930">
            <w:pPr>
              <w:rPr>
                <w:b/>
                <w:lang w:eastAsia="en-US"/>
              </w:rPr>
            </w:pPr>
            <w:bookmarkStart w:id="0" w:name="_GoBack"/>
            <w:bookmarkEnd w:id="0"/>
          </w:p>
        </w:tc>
        <w:tc>
          <w:tcPr>
            <w:tcW w:w="6175" w:type="dxa"/>
          </w:tcPr>
          <w:p w14:paraId="0D448282" w14:textId="77777777" w:rsidR="00247953" w:rsidRDefault="00337FFB" w:rsidP="00E14930">
            <w:pPr>
              <w:rPr>
                <w:b/>
                <w:lang w:eastAsia="en-US"/>
              </w:rPr>
            </w:pPr>
            <w:r>
              <w:rPr>
                <w:b/>
                <w:lang w:eastAsia="en-US"/>
              </w:rPr>
              <w:t>Committee for Standard in Public Life Proposal</w:t>
            </w:r>
          </w:p>
          <w:p w14:paraId="184F663B" w14:textId="77777777" w:rsidR="001E7237" w:rsidRPr="00B36C24" w:rsidRDefault="00337FFB" w:rsidP="00E14930">
            <w:pPr>
              <w:rPr>
                <w:b/>
                <w:sz w:val="12"/>
                <w:szCs w:val="12"/>
                <w:lang w:eastAsia="en-US"/>
              </w:rPr>
            </w:pPr>
          </w:p>
        </w:tc>
        <w:tc>
          <w:tcPr>
            <w:tcW w:w="7371" w:type="dxa"/>
          </w:tcPr>
          <w:p w14:paraId="3911B755" w14:textId="77777777" w:rsidR="00247953" w:rsidRPr="001E7237" w:rsidRDefault="00337FFB" w:rsidP="005F6EB5">
            <w:pPr>
              <w:rPr>
                <w:b/>
                <w:lang w:eastAsia="en-US"/>
              </w:rPr>
            </w:pPr>
            <w:r>
              <w:rPr>
                <w:b/>
                <w:lang w:eastAsia="en-US"/>
              </w:rPr>
              <w:t>Comment / Response</w:t>
            </w:r>
          </w:p>
        </w:tc>
      </w:tr>
      <w:tr w:rsidR="008C19C3" w14:paraId="48D702E5" w14:textId="77777777" w:rsidTr="00C2730C">
        <w:trPr>
          <w:trHeight w:val="2135"/>
        </w:trPr>
        <w:tc>
          <w:tcPr>
            <w:tcW w:w="483" w:type="dxa"/>
          </w:tcPr>
          <w:p w14:paraId="290C906D" w14:textId="77777777" w:rsidR="001C17F8" w:rsidRPr="001E7237" w:rsidRDefault="00337FFB" w:rsidP="00E14930">
            <w:pPr>
              <w:rPr>
                <w:lang w:eastAsia="en-US"/>
              </w:rPr>
            </w:pPr>
            <w:r w:rsidRPr="001E7237">
              <w:rPr>
                <w:lang w:eastAsia="en-US"/>
              </w:rPr>
              <w:t>1</w:t>
            </w:r>
          </w:p>
        </w:tc>
        <w:tc>
          <w:tcPr>
            <w:tcW w:w="6175" w:type="dxa"/>
          </w:tcPr>
          <w:p w14:paraId="620D728C" w14:textId="77777777" w:rsidR="001E7237" w:rsidRPr="001E7237" w:rsidRDefault="00337FFB" w:rsidP="00B36C24">
            <w:pPr>
              <w:spacing w:after="80"/>
              <w:rPr>
                <w:sz w:val="16"/>
                <w:szCs w:val="16"/>
                <w:lang w:eastAsia="en-US"/>
              </w:rPr>
            </w:pPr>
            <w:r w:rsidRPr="001E7237">
              <w:rPr>
                <w:lang w:eastAsia="en-US"/>
              </w:rPr>
              <w:t xml:space="preserve">Local authorities should include prohibitions on bullying and harassment in codes of conduct. These should include a definition of bullying and harassment, supplemented with a list of examples of the sort of behaviour covered by such a definition. </w:t>
            </w:r>
          </w:p>
        </w:tc>
        <w:tc>
          <w:tcPr>
            <w:tcW w:w="7371" w:type="dxa"/>
          </w:tcPr>
          <w:p w14:paraId="38F0539B" w14:textId="77777777" w:rsidR="00C2730C" w:rsidRPr="00C2730C" w:rsidRDefault="00337FFB" w:rsidP="00C2730C">
            <w:pPr>
              <w:pStyle w:val="Default"/>
              <w:rPr>
                <w:rFonts w:ascii="Arial" w:hAnsi="Arial" w:cs="Arial"/>
              </w:rPr>
            </w:pPr>
            <w:r w:rsidRPr="00C2730C">
              <w:rPr>
                <w:rFonts w:ascii="Arial" w:hAnsi="Arial" w:cs="Arial"/>
              </w:rPr>
              <w:t>It is s</w:t>
            </w:r>
            <w:r w:rsidRPr="00C2730C">
              <w:rPr>
                <w:rFonts w:ascii="Arial" w:hAnsi="Arial" w:cs="Arial"/>
              </w:rPr>
              <w:t>uggested that Lancashire adopt the following f</w:t>
            </w:r>
            <w:r>
              <w:rPr>
                <w:rFonts w:ascii="Arial" w:hAnsi="Arial" w:cs="Arial"/>
              </w:rPr>
              <w:t>rom</w:t>
            </w:r>
            <w:r w:rsidRPr="00C2730C">
              <w:rPr>
                <w:rFonts w:ascii="Arial" w:hAnsi="Arial" w:cs="Arial"/>
              </w:rPr>
              <w:t xml:space="preserve"> the  Local Government Association </w:t>
            </w:r>
            <w:r>
              <w:rPr>
                <w:rFonts w:ascii="Arial" w:hAnsi="Arial" w:cs="Arial"/>
              </w:rPr>
              <w:t>m</w:t>
            </w:r>
            <w:r w:rsidRPr="00C2730C">
              <w:rPr>
                <w:rFonts w:ascii="Arial" w:hAnsi="Arial" w:cs="Arial"/>
              </w:rPr>
              <w:t xml:space="preserve">odel </w:t>
            </w:r>
            <w:r>
              <w:rPr>
                <w:rFonts w:ascii="Arial" w:hAnsi="Arial" w:cs="Arial"/>
              </w:rPr>
              <w:t>c</w:t>
            </w:r>
            <w:r w:rsidRPr="00C2730C">
              <w:rPr>
                <w:rFonts w:ascii="Arial" w:hAnsi="Arial" w:cs="Arial"/>
              </w:rPr>
              <w:t>ode:</w:t>
            </w:r>
          </w:p>
          <w:p w14:paraId="76C4269D" w14:textId="77777777" w:rsidR="00C2730C" w:rsidRPr="00C2730C" w:rsidRDefault="00337FFB" w:rsidP="00C2730C">
            <w:pPr>
              <w:pStyle w:val="Default"/>
              <w:rPr>
                <w:rFonts w:ascii="Arial" w:hAnsi="Arial" w:cs="Arial"/>
                <w:color w:val="auto"/>
              </w:rPr>
            </w:pPr>
          </w:p>
          <w:p w14:paraId="5E0A55E9" w14:textId="77777777" w:rsidR="00C2730C" w:rsidRPr="00C2730C" w:rsidRDefault="00337FFB" w:rsidP="00C2730C">
            <w:pPr>
              <w:pStyle w:val="Default"/>
              <w:numPr>
                <w:ilvl w:val="0"/>
                <w:numId w:val="2"/>
              </w:numPr>
              <w:ind w:left="462" w:hanging="284"/>
              <w:rPr>
                <w:rFonts w:ascii="Arial" w:hAnsi="Arial" w:cs="Arial"/>
                <w:color w:val="auto"/>
              </w:rPr>
            </w:pPr>
            <w:r w:rsidRPr="00C2730C">
              <w:rPr>
                <w:rFonts w:ascii="Arial" w:hAnsi="Arial" w:cs="Arial"/>
                <w:color w:val="auto"/>
              </w:rPr>
              <w:t>"The Advisory, Conciliation and Arbitration Service (ACAS) characterises bullying as offensive, intimidating, malicious or insulting behaviour, an abuse o</w:t>
            </w:r>
            <w:r w:rsidRPr="00C2730C">
              <w:rPr>
                <w:rFonts w:ascii="Arial" w:hAnsi="Arial" w:cs="Arial"/>
                <w:color w:val="auto"/>
              </w:rPr>
              <w:t>r misuse of power through means that undermine, humiliate, denigrate or injure the recipient. Bullying might be a regular pattern of behaviour or a one-off incident, happen face-to-face, on social media, in emails or phone calls, happen in the workplace or</w:t>
            </w:r>
            <w:r w:rsidRPr="00C2730C">
              <w:rPr>
                <w:rFonts w:ascii="Arial" w:hAnsi="Arial" w:cs="Arial"/>
                <w:color w:val="auto"/>
              </w:rPr>
              <w:t xml:space="preserve"> at work social events and may not always be obvious or noticed by others. </w:t>
            </w:r>
          </w:p>
          <w:p w14:paraId="4D8EB5AB" w14:textId="77777777" w:rsidR="00C2730C" w:rsidRPr="00C2730C" w:rsidRDefault="00337FFB" w:rsidP="00C2730C">
            <w:pPr>
              <w:pStyle w:val="Default"/>
              <w:ind w:left="462"/>
              <w:rPr>
                <w:rFonts w:ascii="Arial" w:hAnsi="Arial" w:cs="Arial"/>
                <w:color w:val="auto"/>
              </w:rPr>
            </w:pPr>
            <w:r w:rsidRPr="00C2730C">
              <w:rPr>
                <w:rFonts w:ascii="Arial" w:hAnsi="Arial" w:cs="Arial"/>
                <w:color w:val="auto"/>
              </w:rPr>
              <w:t>The Protection from Harassment Act 1997 defines harassment as conduct that causes alarm or distress or puts people in fear of violence and must involve such conduct on at least two</w:t>
            </w:r>
            <w:r w:rsidRPr="00C2730C">
              <w:rPr>
                <w:rFonts w:ascii="Arial" w:hAnsi="Arial" w:cs="Arial"/>
                <w:color w:val="auto"/>
              </w:rPr>
              <w:t xml:space="preserve"> occasions. It can include repeated attempts to impose unwanted communications and contact upon a person in a manner that could be expected to cause distress or fear in any reasonable person. </w:t>
            </w:r>
          </w:p>
          <w:p w14:paraId="76DC3BC8" w14:textId="77777777" w:rsidR="001C17F8" w:rsidRDefault="00337FFB" w:rsidP="00C2730C">
            <w:pPr>
              <w:pStyle w:val="Default"/>
              <w:ind w:left="462"/>
              <w:rPr>
                <w:rFonts w:ascii="Arial" w:hAnsi="Arial" w:cs="Arial"/>
              </w:rPr>
            </w:pPr>
            <w:r w:rsidRPr="00C2730C">
              <w:rPr>
                <w:rFonts w:ascii="Arial" w:hAnsi="Arial" w:cs="Arial"/>
                <w:color w:val="auto"/>
              </w:rPr>
              <w:t>Unlawful discrimination is where someone is treated unfairly be</w:t>
            </w:r>
            <w:r w:rsidRPr="00C2730C">
              <w:rPr>
                <w:rFonts w:ascii="Arial" w:hAnsi="Arial" w:cs="Arial"/>
                <w:color w:val="auto"/>
              </w:rPr>
              <w:t>cause of a protected characteristic. Protected characteristics are specific aspects of a person's identity defined by the Equality Act 2010. They are age, disability, gender reassignment, marriage and civil partnership, pregnancy and maternity, race, relig</w:t>
            </w:r>
            <w:r w:rsidRPr="00C2730C">
              <w:rPr>
                <w:rFonts w:ascii="Arial" w:hAnsi="Arial" w:cs="Arial"/>
                <w:color w:val="auto"/>
              </w:rPr>
              <w:t>ion or belief, sex and sexual orientation.</w:t>
            </w:r>
            <w:r w:rsidRPr="00C2730C">
              <w:rPr>
                <w:rFonts w:ascii="Arial" w:hAnsi="Arial" w:cs="Arial"/>
              </w:rPr>
              <w:t>"</w:t>
            </w:r>
          </w:p>
          <w:p w14:paraId="79EE5F9D" w14:textId="77777777" w:rsidR="00BE6FEA" w:rsidRPr="00C2730C" w:rsidRDefault="00337FFB" w:rsidP="00C2730C">
            <w:pPr>
              <w:pStyle w:val="Default"/>
              <w:ind w:left="462"/>
              <w:rPr>
                <w:rFonts w:ascii="Arial" w:hAnsi="Arial" w:cs="Arial"/>
              </w:rPr>
            </w:pPr>
          </w:p>
        </w:tc>
      </w:tr>
      <w:tr w:rsidR="008C19C3" w14:paraId="33460805" w14:textId="77777777" w:rsidTr="003A49C2">
        <w:tc>
          <w:tcPr>
            <w:tcW w:w="483" w:type="dxa"/>
          </w:tcPr>
          <w:p w14:paraId="7B96E494" w14:textId="77777777" w:rsidR="001C17F8" w:rsidRPr="001E7237" w:rsidRDefault="00337FFB" w:rsidP="00E14930">
            <w:pPr>
              <w:rPr>
                <w:lang w:eastAsia="en-US"/>
              </w:rPr>
            </w:pPr>
            <w:r w:rsidRPr="001E7237">
              <w:rPr>
                <w:lang w:eastAsia="en-US"/>
              </w:rPr>
              <w:t>2</w:t>
            </w:r>
          </w:p>
        </w:tc>
        <w:tc>
          <w:tcPr>
            <w:tcW w:w="6175" w:type="dxa"/>
          </w:tcPr>
          <w:p w14:paraId="66CBF65A" w14:textId="77777777" w:rsidR="001E7237" w:rsidRPr="001E7237" w:rsidRDefault="00337FFB" w:rsidP="00B36C24">
            <w:pPr>
              <w:spacing w:after="80"/>
              <w:rPr>
                <w:sz w:val="16"/>
                <w:szCs w:val="16"/>
                <w:lang w:eastAsia="en-US"/>
              </w:rPr>
            </w:pPr>
            <w:r w:rsidRPr="001E7237">
              <w:rPr>
                <w:lang w:eastAsia="en-US"/>
              </w:rPr>
              <w:t xml:space="preserve">Councils should include provisions in their code of conduct requiring councillors to comply with any formal standards investigation, and prohibiting trivial or malicious allegations by councillors. </w:t>
            </w:r>
          </w:p>
        </w:tc>
        <w:tc>
          <w:tcPr>
            <w:tcW w:w="7371" w:type="dxa"/>
          </w:tcPr>
          <w:p w14:paraId="39B6CCD0" w14:textId="77777777" w:rsidR="00C2730C" w:rsidRPr="00C2730C" w:rsidRDefault="00337FFB" w:rsidP="00C2730C">
            <w:pPr>
              <w:pStyle w:val="Default"/>
              <w:rPr>
                <w:rFonts w:ascii="Arial" w:hAnsi="Arial" w:cs="Arial"/>
              </w:rPr>
            </w:pPr>
            <w:r>
              <w:rPr>
                <w:rFonts w:ascii="Arial" w:hAnsi="Arial" w:cs="Arial"/>
              </w:rPr>
              <w:t>The</w:t>
            </w:r>
            <w:r w:rsidRPr="00C2730C">
              <w:rPr>
                <w:rFonts w:ascii="Arial" w:hAnsi="Arial" w:cs="Arial"/>
              </w:rPr>
              <w:t xml:space="preserve"> Local Government Association </w:t>
            </w:r>
            <w:r>
              <w:rPr>
                <w:rFonts w:ascii="Arial" w:hAnsi="Arial" w:cs="Arial"/>
              </w:rPr>
              <w:t>m</w:t>
            </w:r>
            <w:r w:rsidRPr="00C2730C">
              <w:rPr>
                <w:rFonts w:ascii="Arial" w:hAnsi="Arial" w:cs="Arial"/>
              </w:rPr>
              <w:t xml:space="preserve">odel </w:t>
            </w:r>
            <w:r>
              <w:rPr>
                <w:rFonts w:ascii="Arial" w:hAnsi="Arial" w:cs="Arial"/>
              </w:rPr>
              <w:t>c</w:t>
            </w:r>
            <w:r w:rsidRPr="00C2730C">
              <w:rPr>
                <w:rFonts w:ascii="Arial" w:hAnsi="Arial" w:cs="Arial"/>
              </w:rPr>
              <w:t>ode</w:t>
            </w:r>
            <w:r>
              <w:rPr>
                <w:rFonts w:ascii="Arial" w:hAnsi="Arial" w:cs="Arial"/>
              </w:rPr>
              <w:t xml:space="preserve"> includes the following</w:t>
            </w:r>
            <w:r w:rsidRPr="00C2730C">
              <w:rPr>
                <w:rFonts w:ascii="Arial" w:hAnsi="Arial" w:cs="Arial"/>
              </w:rPr>
              <w:t>:</w:t>
            </w:r>
          </w:p>
          <w:p w14:paraId="34DC138A" w14:textId="77777777" w:rsidR="00C2730C" w:rsidRPr="00C2730C" w:rsidRDefault="00337FFB" w:rsidP="00C2730C">
            <w:pPr>
              <w:autoSpaceDE w:val="0"/>
              <w:autoSpaceDN w:val="0"/>
              <w:adjustRightInd w:val="0"/>
              <w:rPr>
                <w:rFonts w:eastAsiaTheme="minorHAnsi"/>
                <w:color w:val="000000"/>
                <w:lang w:eastAsia="en-US"/>
              </w:rPr>
            </w:pPr>
          </w:p>
          <w:p w14:paraId="79E67603" w14:textId="77777777" w:rsidR="00C2730C" w:rsidRPr="00C2730C" w:rsidRDefault="00337FFB" w:rsidP="00C2730C">
            <w:pPr>
              <w:pStyle w:val="ListParagraph"/>
              <w:numPr>
                <w:ilvl w:val="0"/>
                <w:numId w:val="2"/>
              </w:numPr>
              <w:autoSpaceDE w:val="0"/>
              <w:autoSpaceDN w:val="0"/>
              <w:adjustRightInd w:val="0"/>
              <w:spacing w:after="280"/>
              <w:ind w:left="320" w:hanging="142"/>
              <w:rPr>
                <w:rFonts w:ascii="Arial" w:hAnsi="Arial" w:cs="Arial"/>
                <w:bCs/>
                <w:color w:val="000000"/>
                <w:sz w:val="24"/>
                <w:szCs w:val="24"/>
              </w:rPr>
            </w:pPr>
            <w:r w:rsidRPr="00C2730C">
              <w:rPr>
                <w:rFonts w:ascii="Arial" w:hAnsi="Arial" w:cs="Arial"/>
                <w:bCs/>
                <w:color w:val="000000"/>
                <w:sz w:val="24"/>
                <w:szCs w:val="24"/>
              </w:rPr>
              <w:t xml:space="preserve">"8. Complying with the Code of Conduct </w:t>
            </w:r>
          </w:p>
          <w:p w14:paraId="194A4BFA" w14:textId="77777777" w:rsidR="00C2730C" w:rsidRPr="00C2730C" w:rsidRDefault="00337FFB" w:rsidP="00337FFB">
            <w:pPr>
              <w:autoSpaceDE w:val="0"/>
              <w:autoSpaceDN w:val="0"/>
              <w:adjustRightInd w:val="0"/>
              <w:ind w:left="462" w:hanging="142"/>
              <w:rPr>
                <w:rFonts w:eastAsiaTheme="minorHAnsi"/>
                <w:color w:val="000000"/>
                <w:lang w:eastAsia="en-US"/>
              </w:rPr>
            </w:pPr>
            <w:r w:rsidRPr="00C2730C">
              <w:rPr>
                <w:rFonts w:eastAsiaTheme="minorHAnsi"/>
                <w:bCs/>
                <w:color w:val="000000"/>
                <w:lang w:eastAsia="en-US"/>
              </w:rPr>
              <w:t xml:space="preserve">8.1 I undertake Code of Conduct training provided by my local authority. </w:t>
            </w:r>
          </w:p>
          <w:p w14:paraId="52516519" w14:textId="77777777" w:rsidR="00C2730C" w:rsidRPr="00C2730C" w:rsidRDefault="00337FFB" w:rsidP="00C2730C">
            <w:pPr>
              <w:autoSpaceDE w:val="0"/>
              <w:autoSpaceDN w:val="0"/>
              <w:adjustRightInd w:val="0"/>
              <w:spacing w:after="280"/>
              <w:ind w:left="320"/>
              <w:rPr>
                <w:rFonts w:eastAsiaTheme="minorHAnsi"/>
                <w:color w:val="000000"/>
                <w:lang w:eastAsia="en-US"/>
              </w:rPr>
            </w:pPr>
            <w:r w:rsidRPr="00C2730C">
              <w:rPr>
                <w:rFonts w:eastAsiaTheme="minorHAnsi"/>
                <w:bCs/>
                <w:color w:val="000000"/>
                <w:lang w:eastAsia="en-US"/>
              </w:rPr>
              <w:lastRenderedPageBreak/>
              <w:t xml:space="preserve">8.2 I cooperate with any Code of Conduct investigation and/or determination. </w:t>
            </w:r>
          </w:p>
          <w:p w14:paraId="17A06187" w14:textId="77777777" w:rsidR="00C2730C" w:rsidRPr="00C2730C" w:rsidRDefault="00337FFB" w:rsidP="00C2730C">
            <w:pPr>
              <w:autoSpaceDE w:val="0"/>
              <w:autoSpaceDN w:val="0"/>
              <w:adjustRightInd w:val="0"/>
              <w:spacing w:after="280"/>
              <w:ind w:left="320"/>
              <w:rPr>
                <w:rFonts w:eastAsiaTheme="minorHAnsi"/>
                <w:color w:val="000000"/>
                <w:lang w:eastAsia="en-US"/>
              </w:rPr>
            </w:pPr>
            <w:r w:rsidRPr="00C2730C">
              <w:rPr>
                <w:rFonts w:eastAsiaTheme="minorHAnsi"/>
                <w:bCs/>
                <w:color w:val="000000"/>
                <w:lang w:eastAsia="en-US"/>
              </w:rPr>
              <w:t xml:space="preserve">8.3 I do not intimidate or attempt to intimidate any person who is likely to be involved with the administration of any investigation or proceedings. </w:t>
            </w:r>
          </w:p>
          <w:p w14:paraId="7ECA2BAA" w14:textId="77777777" w:rsidR="00C2730C" w:rsidRPr="00C2730C" w:rsidRDefault="00337FFB" w:rsidP="00C2730C">
            <w:pPr>
              <w:autoSpaceDE w:val="0"/>
              <w:autoSpaceDN w:val="0"/>
              <w:adjustRightInd w:val="0"/>
              <w:ind w:left="320"/>
              <w:rPr>
                <w:rFonts w:eastAsiaTheme="minorHAnsi"/>
                <w:color w:val="000000"/>
                <w:lang w:eastAsia="en-US"/>
              </w:rPr>
            </w:pPr>
            <w:r w:rsidRPr="00C2730C">
              <w:rPr>
                <w:rFonts w:eastAsiaTheme="minorHAnsi"/>
                <w:bCs/>
                <w:color w:val="000000"/>
                <w:lang w:eastAsia="en-US"/>
              </w:rPr>
              <w:t>8.4 I comply with any sanct</w:t>
            </w:r>
            <w:r w:rsidRPr="00C2730C">
              <w:rPr>
                <w:rFonts w:eastAsiaTheme="minorHAnsi"/>
                <w:bCs/>
                <w:color w:val="000000"/>
                <w:lang w:eastAsia="en-US"/>
              </w:rPr>
              <w:t xml:space="preserve">ion imposed on me following a finding that I have breached the Code of Conduct. </w:t>
            </w:r>
            <w:r>
              <w:rPr>
                <w:rFonts w:eastAsiaTheme="minorHAnsi"/>
                <w:bCs/>
                <w:color w:val="000000"/>
                <w:lang w:eastAsia="en-US"/>
              </w:rPr>
              <w:t>"</w:t>
            </w:r>
          </w:p>
          <w:p w14:paraId="2CFA1EBB" w14:textId="77777777" w:rsidR="00C2730C" w:rsidRPr="00C2730C" w:rsidRDefault="00337FFB" w:rsidP="00C2730C">
            <w:pPr>
              <w:autoSpaceDE w:val="0"/>
              <w:autoSpaceDN w:val="0"/>
              <w:adjustRightInd w:val="0"/>
              <w:rPr>
                <w:rFonts w:eastAsiaTheme="minorHAnsi"/>
                <w:color w:val="000000"/>
                <w:sz w:val="22"/>
                <w:szCs w:val="22"/>
                <w:lang w:eastAsia="en-US"/>
              </w:rPr>
            </w:pPr>
          </w:p>
          <w:p w14:paraId="1279BD16" w14:textId="77777777" w:rsidR="001C17F8" w:rsidRDefault="00337FFB" w:rsidP="00C2730C">
            <w:pPr>
              <w:rPr>
                <w:lang w:eastAsia="en-US"/>
              </w:rPr>
            </w:pPr>
            <w:r>
              <w:rPr>
                <w:lang w:eastAsia="en-US"/>
              </w:rPr>
              <w:t xml:space="preserve">It is suggested that these provisions be included in the Lancashire </w:t>
            </w:r>
            <w:r>
              <w:rPr>
                <w:lang w:eastAsia="en-US"/>
              </w:rPr>
              <w:t>c</w:t>
            </w:r>
            <w:r>
              <w:rPr>
                <w:lang w:eastAsia="en-US"/>
              </w:rPr>
              <w:t>ode, albeit that the L</w:t>
            </w:r>
            <w:r>
              <w:rPr>
                <w:lang w:eastAsia="en-US"/>
              </w:rPr>
              <w:t xml:space="preserve">ocal </w:t>
            </w:r>
            <w:r>
              <w:rPr>
                <w:lang w:eastAsia="en-US"/>
              </w:rPr>
              <w:t>G</w:t>
            </w:r>
            <w:r>
              <w:rPr>
                <w:lang w:eastAsia="en-US"/>
              </w:rPr>
              <w:t xml:space="preserve">overnment </w:t>
            </w:r>
            <w:r>
              <w:rPr>
                <w:lang w:eastAsia="en-US"/>
              </w:rPr>
              <w:t>A</w:t>
            </w:r>
            <w:r>
              <w:rPr>
                <w:lang w:eastAsia="en-US"/>
              </w:rPr>
              <w:t>ssociation</w:t>
            </w:r>
            <w:r>
              <w:rPr>
                <w:lang w:eastAsia="en-US"/>
              </w:rPr>
              <w:t xml:space="preserve"> </w:t>
            </w:r>
            <w:r>
              <w:rPr>
                <w:lang w:eastAsia="en-US"/>
              </w:rPr>
              <w:t>c</w:t>
            </w:r>
            <w:r>
              <w:rPr>
                <w:lang w:eastAsia="en-US"/>
              </w:rPr>
              <w:t>ode is written in the first person ("I"). The curre</w:t>
            </w:r>
            <w:r>
              <w:rPr>
                <w:lang w:eastAsia="en-US"/>
              </w:rPr>
              <w:t xml:space="preserve">nt Lancashire </w:t>
            </w:r>
            <w:r>
              <w:rPr>
                <w:lang w:eastAsia="en-US"/>
              </w:rPr>
              <w:t>c</w:t>
            </w:r>
            <w:r>
              <w:rPr>
                <w:lang w:eastAsia="en-US"/>
              </w:rPr>
              <w:t>ode uses the second person ("you") and so this would need to be reworded as appropriate.</w:t>
            </w:r>
          </w:p>
          <w:p w14:paraId="63579D9A" w14:textId="77777777" w:rsidR="00C2730C" w:rsidRPr="003A49C2" w:rsidRDefault="00337FFB" w:rsidP="00C2730C">
            <w:pPr>
              <w:rPr>
                <w:lang w:eastAsia="en-US"/>
              </w:rPr>
            </w:pPr>
          </w:p>
        </w:tc>
      </w:tr>
      <w:tr w:rsidR="008C19C3" w14:paraId="07DB2592" w14:textId="77777777" w:rsidTr="003A49C2">
        <w:tc>
          <w:tcPr>
            <w:tcW w:w="483" w:type="dxa"/>
          </w:tcPr>
          <w:p w14:paraId="20AE70F3" w14:textId="77777777" w:rsidR="001C17F8" w:rsidRPr="001E7237" w:rsidRDefault="00337FFB" w:rsidP="00E14930">
            <w:pPr>
              <w:rPr>
                <w:lang w:eastAsia="en-US"/>
              </w:rPr>
            </w:pPr>
            <w:r w:rsidRPr="001E7237">
              <w:rPr>
                <w:lang w:eastAsia="en-US"/>
              </w:rPr>
              <w:lastRenderedPageBreak/>
              <w:t>6</w:t>
            </w:r>
          </w:p>
        </w:tc>
        <w:tc>
          <w:tcPr>
            <w:tcW w:w="6175" w:type="dxa"/>
          </w:tcPr>
          <w:p w14:paraId="5F2FD88B" w14:textId="77777777" w:rsidR="001E7237" w:rsidRPr="001E7237" w:rsidRDefault="00337FFB" w:rsidP="00B36C24">
            <w:pPr>
              <w:spacing w:after="80"/>
              <w:rPr>
                <w:sz w:val="16"/>
                <w:szCs w:val="16"/>
                <w:lang w:eastAsia="en-US"/>
              </w:rPr>
            </w:pPr>
            <w:r w:rsidRPr="001E7237">
              <w:rPr>
                <w:lang w:eastAsia="en-US"/>
              </w:rPr>
              <w:t xml:space="preserve">Councils should publish a clear and straightforward public interest test against which allegations are filtered. </w:t>
            </w:r>
          </w:p>
        </w:tc>
        <w:tc>
          <w:tcPr>
            <w:tcW w:w="7371" w:type="dxa"/>
          </w:tcPr>
          <w:p w14:paraId="49932429" w14:textId="77777777" w:rsidR="001C17F8" w:rsidRDefault="00337FFB" w:rsidP="00E14930">
            <w:pPr>
              <w:rPr>
                <w:lang w:eastAsia="en-US"/>
              </w:rPr>
            </w:pPr>
            <w:r>
              <w:rPr>
                <w:lang w:eastAsia="en-US"/>
              </w:rPr>
              <w:t>A number of Public interest tests</w:t>
            </w:r>
            <w:r>
              <w:rPr>
                <w:lang w:eastAsia="en-US"/>
              </w:rPr>
              <w:t xml:space="preserve"> published by other councils have been reviewed. See Appendix B for a suggested test for Lancashire.</w:t>
            </w:r>
          </w:p>
          <w:p w14:paraId="2CDF26AA" w14:textId="77777777" w:rsidR="00BE6FEA" w:rsidRPr="003A49C2" w:rsidRDefault="00337FFB" w:rsidP="00E14930">
            <w:pPr>
              <w:rPr>
                <w:lang w:eastAsia="en-US"/>
              </w:rPr>
            </w:pPr>
          </w:p>
        </w:tc>
      </w:tr>
      <w:tr w:rsidR="008C19C3" w14:paraId="02B380A4" w14:textId="77777777" w:rsidTr="003A49C2">
        <w:tc>
          <w:tcPr>
            <w:tcW w:w="483" w:type="dxa"/>
          </w:tcPr>
          <w:p w14:paraId="7D3D1565" w14:textId="77777777" w:rsidR="001C17F8" w:rsidRPr="001E7237" w:rsidRDefault="00337FFB" w:rsidP="00E14930">
            <w:pPr>
              <w:rPr>
                <w:lang w:eastAsia="en-US"/>
              </w:rPr>
            </w:pPr>
            <w:r w:rsidRPr="001E7237">
              <w:rPr>
                <w:lang w:eastAsia="en-US"/>
              </w:rPr>
              <w:t>13</w:t>
            </w:r>
          </w:p>
        </w:tc>
        <w:tc>
          <w:tcPr>
            <w:tcW w:w="6175" w:type="dxa"/>
          </w:tcPr>
          <w:p w14:paraId="2B6ACF36" w14:textId="77777777" w:rsidR="00C93B88" w:rsidRDefault="00337FFB" w:rsidP="00C93B88">
            <w:pPr>
              <w:rPr>
                <w:lang w:eastAsia="en-US"/>
              </w:rPr>
            </w:pPr>
            <w:r w:rsidRPr="001E7237">
              <w:rPr>
                <w:lang w:eastAsia="en-US"/>
              </w:rPr>
              <w:t>A local authority should have procedures in place to address any conflicts of interest when undertaking a standards investigation. Possible steps shou</w:t>
            </w:r>
            <w:r w:rsidRPr="001E7237">
              <w:rPr>
                <w:lang w:eastAsia="en-US"/>
              </w:rPr>
              <w:t xml:space="preserve">ld include asking the Monitoring Officer from a different authority to undertake the investigation. </w:t>
            </w:r>
          </w:p>
          <w:p w14:paraId="3B9C067C" w14:textId="77777777" w:rsidR="00B36C24" w:rsidRPr="00B36C24" w:rsidRDefault="00337FFB" w:rsidP="00C93B88">
            <w:pPr>
              <w:rPr>
                <w:sz w:val="16"/>
                <w:szCs w:val="16"/>
                <w:lang w:eastAsia="en-US"/>
              </w:rPr>
            </w:pPr>
          </w:p>
        </w:tc>
        <w:tc>
          <w:tcPr>
            <w:tcW w:w="7371" w:type="dxa"/>
          </w:tcPr>
          <w:p w14:paraId="6BB1A1E7" w14:textId="77777777" w:rsidR="001C17F8" w:rsidRDefault="00337FFB" w:rsidP="00E14930">
            <w:pPr>
              <w:rPr>
                <w:lang w:eastAsia="en-US"/>
              </w:rPr>
            </w:pPr>
            <w:r>
              <w:rPr>
                <w:lang w:eastAsia="en-US"/>
              </w:rPr>
              <w:t>Suggested wording for inclusion in our guide to handling complaints:</w:t>
            </w:r>
          </w:p>
          <w:p w14:paraId="189D1979" w14:textId="77777777" w:rsidR="00BE6FEA" w:rsidRDefault="00337FFB" w:rsidP="00E14930">
            <w:pPr>
              <w:rPr>
                <w:lang w:eastAsia="en-US"/>
              </w:rPr>
            </w:pPr>
          </w:p>
          <w:p w14:paraId="5DE708DA" w14:textId="77777777" w:rsidR="003A49C2" w:rsidRPr="003A49C2" w:rsidRDefault="00337FFB" w:rsidP="003A49C2">
            <w:pPr>
              <w:pStyle w:val="ListParagraph"/>
              <w:numPr>
                <w:ilvl w:val="0"/>
                <w:numId w:val="1"/>
              </w:numPr>
              <w:ind w:left="320" w:hanging="284"/>
              <w:rPr>
                <w:rFonts w:ascii="Arial" w:hAnsi="Arial" w:cs="Arial"/>
                <w:sz w:val="24"/>
                <w:szCs w:val="24"/>
              </w:rPr>
            </w:pPr>
            <w:r w:rsidRPr="003A49C2">
              <w:rPr>
                <w:rFonts w:ascii="Arial" w:hAnsi="Arial" w:cs="Arial"/>
                <w:sz w:val="24"/>
                <w:szCs w:val="24"/>
              </w:rPr>
              <w:t>"Prior to undertaking a standards investigation, the Monitoring Officer will conside</w:t>
            </w:r>
            <w:r w:rsidRPr="003A49C2">
              <w:rPr>
                <w:rFonts w:ascii="Arial" w:hAnsi="Arial" w:cs="Arial"/>
                <w:sz w:val="24"/>
                <w:szCs w:val="24"/>
              </w:rPr>
              <w:t>r the case and determine whether there could be an actual or perceived conflict of interest if they were to carry out the review. If this is the case, then the Monitoring Officer will approach a Monitoring Officer from a different authority or other approp</w:t>
            </w:r>
            <w:r w:rsidRPr="003A49C2">
              <w:rPr>
                <w:rFonts w:ascii="Arial" w:hAnsi="Arial" w:cs="Arial"/>
                <w:sz w:val="24"/>
                <w:szCs w:val="24"/>
              </w:rPr>
              <w:t>riate senior officer to complete the enquiry. "</w:t>
            </w:r>
          </w:p>
          <w:p w14:paraId="034B817E" w14:textId="77777777" w:rsidR="003A49C2" w:rsidRPr="003A49C2" w:rsidRDefault="00337FFB" w:rsidP="00E14930">
            <w:pPr>
              <w:rPr>
                <w:lang w:eastAsia="en-US"/>
              </w:rPr>
            </w:pPr>
          </w:p>
        </w:tc>
      </w:tr>
      <w:tr w:rsidR="008C19C3" w14:paraId="51381DAC" w14:textId="77777777" w:rsidTr="003A49C2">
        <w:tc>
          <w:tcPr>
            <w:tcW w:w="483" w:type="dxa"/>
          </w:tcPr>
          <w:p w14:paraId="3B5ABA18" w14:textId="77777777" w:rsidR="001C17F8" w:rsidRPr="001E7237" w:rsidRDefault="00337FFB" w:rsidP="00E14930">
            <w:pPr>
              <w:rPr>
                <w:lang w:eastAsia="en-US"/>
              </w:rPr>
            </w:pPr>
            <w:r w:rsidRPr="001E7237">
              <w:rPr>
                <w:lang w:eastAsia="en-US"/>
              </w:rPr>
              <w:t>15</w:t>
            </w:r>
          </w:p>
        </w:tc>
        <w:tc>
          <w:tcPr>
            <w:tcW w:w="6175" w:type="dxa"/>
          </w:tcPr>
          <w:p w14:paraId="22A20322" w14:textId="77777777" w:rsidR="001C17F8" w:rsidRPr="001E7237" w:rsidRDefault="00337FFB" w:rsidP="00E14930">
            <w:pPr>
              <w:rPr>
                <w:lang w:eastAsia="en-US"/>
              </w:rPr>
            </w:pPr>
            <w:r w:rsidRPr="001E7237">
              <w:rPr>
                <w:lang w:eastAsia="en-US"/>
              </w:rPr>
              <w:t xml:space="preserve">Senior officers should meet regularly with political group leaders or group whips to discuss standards issues. </w:t>
            </w:r>
          </w:p>
        </w:tc>
        <w:tc>
          <w:tcPr>
            <w:tcW w:w="7371" w:type="dxa"/>
          </w:tcPr>
          <w:p w14:paraId="3C5EE813" w14:textId="77777777" w:rsidR="00B36C24" w:rsidRDefault="00337FFB" w:rsidP="00E14930">
            <w:pPr>
              <w:rPr>
                <w:lang w:eastAsia="en-US"/>
              </w:rPr>
            </w:pPr>
            <w:r>
              <w:rPr>
                <w:lang w:eastAsia="en-US"/>
              </w:rPr>
              <w:t xml:space="preserve">Meetings now in place with Monitoring Officer and Political Groups, covering standards and </w:t>
            </w:r>
            <w:r>
              <w:rPr>
                <w:lang w:eastAsia="en-US"/>
              </w:rPr>
              <w:t xml:space="preserve">other political management issues. </w:t>
            </w:r>
          </w:p>
          <w:p w14:paraId="1FF9E7A3" w14:textId="77777777" w:rsidR="00BE6FEA" w:rsidRPr="003A49C2" w:rsidRDefault="00337FFB" w:rsidP="00E14930">
            <w:pPr>
              <w:rPr>
                <w:lang w:eastAsia="en-US"/>
              </w:rPr>
            </w:pPr>
          </w:p>
        </w:tc>
      </w:tr>
    </w:tbl>
    <w:p w14:paraId="70D737EF" w14:textId="77777777" w:rsidR="001E7237" w:rsidRPr="001E7237" w:rsidRDefault="00337FFB" w:rsidP="001E7237"/>
    <w:sectPr w:rsidR="001E7237" w:rsidRPr="001E7237" w:rsidSect="003A49C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7A0"/>
    <w:multiLevelType w:val="hybridMultilevel"/>
    <w:tmpl w:val="C6BEFCA0"/>
    <w:lvl w:ilvl="0" w:tplc="54A24FDC">
      <w:start w:val="1"/>
      <w:numFmt w:val="bullet"/>
      <w:lvlText w:val=""/>
      <w:lvlJc w:val="left"/>
      <w:pPr>
        <w:ind w:left="720" w:hanging="360"/>
      </w:pPr>
      <w:rPr>
        <w:rFonts w:ascii="Symbol" w:hAnsi="Symbol" w:hint="default"/>
      </w:rPr>
    </w:lvl>
    <w:lvl w:ilvl="1" w:tplc="05968A3C" w:tentative="1">
      <w:start w:val="1"/>
      <w:numFmt w:val="bullet"/>
      <w:lvlText w:val="o"/>
      <w:lvlJc w:val="left"/>
      <w:pPr>
        <w:ind w:left="1440" w:hanging="360"/>
      </w:pPr>
      <w:rPr>
        <w:rFonts w:ascii="Courier New" w:hAnsi="Courier New" w:cs="Courier New" w:hint="default"/>
      </w:rPr>
    </w:lvl>
    <w:lvl w:ilvl="2" w:tplc="903A81F4" w:tentative="1">
      <w:start w:val="1"/>
      <w:numFmt w:val="bullet"/>
      <w:lvlText w:val=""/>
      <w:lvlJc w:val="left"/>
      <w:pPr>
        <w:ind w:left="2160" w:hanging="360"/>
      </w:pPr>
      <w:rPr>
        <w:rFonts w:ascii="Wingdings" w:hAnsi="Wingdings" w:hint="default"/>
      </w:rPr>
    </w:lvl>
    <w:lvl w:ilvl="3" w:tplc="160072A6" w:tentative="1">
      <w:start w:val="1"/>
      <w:numFmt w:val="bullet"/>
      <w:lvlText w:val=""/>
      <w:lvlJc w:val="left"/>
      <w:pPr>
        <w:ind w:left="2880" w:hanging="360"/>
      </w:pPr>
      <w:rPr>
        <w:rFonts w:ascii="Symbol" w:hAnsi="Symbol" w:hint="default"/>
      </w:rPr>
    </w:lvl>
    <w:lvl w:ilvl="4" w:tplc="D892E088" w:tentative="1">
      <w:start w:val="1"/>
      <w:numFmt w:val="bullet"/>
      <w:lvlText w:val="o"/>
      <w:lvlJc w:val="left"/>
      <w:pPr>
        <w:ind w:left="3600" w:hanging="360"/>
      </w:pPr>
      <w:rPr>
        <w:rFonts w:ascii="Courier New" w:hAnsi="Courier New" w:cs="Courier New" w:hint="default"/>
      </w:rPr>
    </w:lvl>
    <w:lvl w:ilvl="5" w:tplc="5B38CC08" w:tentative="1">
      <w:start w:val="1"/>
      <w:numFmt w:val="bullet"/>
      <w:lvlText w:val=""/>
      <w:lvlJc w:val="left"/>
      <w:pPr>
        <w:ind w:left="4320" w:hanging="360"/>
      </w:pPr>
      <w:rPr>
        <w:rFonts w:ascii="Wingdings" w:hAnsi="Wingdings" w:hint="default"/>
      </w:rPr>
    </w:lvl>
    <w:lvl w:ilvl="6" w:tplc="CE681374" w:tentative="1">
      <w:start w:val="1"/>
      <w:numFmt w:val="bullet"/>
      <w:lvlText w:val=""/>
      <w:lvlJc w:val="left"/>
      <w:pPr>
        <w:ind w:left="5040" w:hanging="360"/>
      </w:pPr>
      <w:rPr>
        <w:rFonts w:ascii="Symbol" w:hAnsi="Symbol" w:hint="default"/>
      </w:rPr>
    </w:lvl>
    <w:lvl w:ilvl="7" w:tplc="A24CD5EC" w:tentative="1">
      <w:start w:val="1"/>
      <w:numFmt w:val="bullet"/>
      <w:lvlText w:val="o"/>
      <w:lvlJc w:val="left"/>
      <w:pPr>
        <w:ind w:left="5760" w:hanging="360"/>
      </w:pPr>
      <w:rPr>
        <w:rFonts w:ascii="Courier New" w:hAnsi="Courier New" w:cs="Courier New" w:hint="default"/>
      </w:rPr>
    </w:lvl>
    <w:lvl w:ilvl="8" w:tplc="7A20AA34" w:tentative="1">
      <w:start w:val="1"/>
      <w:numFmt w:val="bullet"/>
      <w:lvlText w:val=""/>
      <w:lvlJc w:val="left"/>
      <w:pPr>
        <w:ind w:left="6480" w:hanging="360"/>
      </w:pPr>
      <w:rPr>
        <w:rFonts w:ascii="Wingdings" w:hAnsi="Wingdings" w:hint="default"/>
      </w:rPr>
    </w:lvl>
  </w:abstractNum>
  <w:abstractNum w:abstractNumId="1" w15:restartNumberingAfterBreak="0">
    <w:nsid w:val="468350EB"/>
    <w:multiLevelType w:val="hybridMultilevel"/>
    <w:tmpl w:val="0C6855E6"/>
    <w:lvl w:ilvl="0" w:tplc="0A3294AC">
      <w:start w:val="1"/>
      <w:numFmt w:val="bullet"/>
      <w:lvlText w:val=""/>
      <w:lvlJc w:val="left"/>
      <w:pPr>
        <w:ind w:left="1440" w:hanging="360"/>
      </w:pPr>
      <w:rPr>
        <w:rFonts w:ascii="Symbol" w:hAnsi="Symbol" w:hint="default"/>
      </w:rPr>
    </w:lvl>
    <w:lvl w:ilvl="1" w:tplc="2CE4A3F4" w:tentative="1">
      <w:start w:val="1"/>
      <w:numFmt w:val="bullet"/>
      <w:lvlText w:val="o"/>
      <w:lvlJc w:val="left"/>
      <w:pPr>
        <w:ind w:left="2160" w:hanging="360"/>
      </w:pPr>
      <w:rPr>
        <w:rFonts w:ascii="Courier New" w:hAnsi="Courier New" w:cs="Courier New" w:hint="default"/>
      </w:rPr>
    </w:lvl>
    <w:lvl w:ilvl="2" w:tplc="5744677E" w:tentative="1">
      <w:start w:val="1"/>
      <w:numFmt w:val="bullet"/>
      <w:lvlText w:val=""/>
      <w:lvlJc w:val="left"/>
      <w:pPr>
        <w:ind w:left="2880" w:hanging="360"/>
      </w:pPr>
      <w:rPr>
        <w:rFonts w:ascii="Wingdings" w:hAnsi="Wingdings" w:hint="default"/>
      </w:rPr>
    </w:lvl>
    <w:lvl w:ilvl="3" w:tplc="AAC289F8" w:tentative="1">
      <w:start w:val="1"/>
      <w:numFmt w:val="bullet"/>
      <w:lvlText w:val=""/>
      <w:lvlJc w:val="left"/>
      <w:pPr>
        <w:ind w:left="3600" w:hanging="360"/>
      </w:pPr>
      <w:rPr>
        <w:rFonts w:ascii="Symbol" w:hAnsi="Symbol" w:hint="default"/>
      </w:rPr>
    </w:lvl>
    <w:lvl w:ilvl="4" w:tplc="584A759A" w:tentative="1">
      <w:start w:val="1"/>
      <w:numFmt w:val="bullet"/>
      <w:lvlText w:val="o"/>
      <w:lvlJc w:val="left"/>
      <w:pPr>
        <w:ind w:left="4320" w:hanging="360"/>
      </w:pPr>
      <w:rPr>
        <w:rFonts w:ascii="Courier New" w:hAnsi="Courier New" w:cs="Courier New" w:hint="default"/>
      </w:rPr>
    </w:lvl>
    <w:lvl w:ilvl="5" w:tplc="35485C6E" w:tentative="1">
      <w:start w:val="1"/>
      <w:numFmt w:val="bullet"/>
      <w:lvlText w:val=""/>
      <w:lvlJc w:val="left"/>
      <w:pPr>
        <w:ind w:left="5040" w:hanging="360"/>
      </w:pPr>
      <w:rPr>
        <w:rFonts w:ascii="Wingdings" w:hAnsi="Wingdings" w:hint="default"/>
      </w:rPr>
    </w:lvl>
    <w:lvl w:ilvl="6" w:tplc="47AA9AB6" w:tentative="1">
      <w:start w:val="1"/>
      <w:numFmt w:val="bullet"/>
      <w:lvlText w:val=""/>
      <w:lvlJc w:val="left"/>
      <w:pPr>
        <w:ind w:left="5760" w:hanging="360"/>
      </w:pPr>
      <w:rPr>
        <w:rFonts w:ascii="Symbol" w:hAnsi="Symbol" w:hint="default"/>
      </w:rPr>
    </w:lvl>
    <w:lvl w:ilvl="7" w:tplc="D57EBE6E" w:tentative="1">
      <w:start w:val="1"/>
      <w:numFmt w:val="bullet"/>
      <w:lvlText w:val="o"/>
      <w:lvlJc w:val="left"/>
      <w:pPr>
        <w:ind w:left="6480" w:hanging="360"/>
      </w:pPr>
      <w:rPr>
        <w:rFonts w:ascii="Courier New" w:hAnsi="Courier New" w:cs="Courier New" w:hint="default"/>
      </w:rPr>
    </w:lvl>
    <w:lvl w:ilvl="8" w:tplc="17461CB4"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C3"/>
    <w:rsid w:val="00337FFB"/>
    <w:rsid w:val="008C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7CBE"/>
  <w15:docId w15:val="{5F905109-6156-49FA-B4F6-5E7DFD43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F8"/>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9C2"/>
    <w:pPr>
      <w:ind w:left="720"/>
    </w:pPr>
    <w:rPr>
      <w:rFonts w:ascii="Calibri" w:eastAsiaTheme="minorHAnsi" w:hAnsi="Calibri" w:cs="Calibri"/>
      <w:sz w:val="22"/>
      <w:szCs w:val="22"/>
      <w:lang w:eastAsia="en-US"/>
    </w:rPr>
  </w:style>
  <w:style w:type="paragraph" w:customStyle="1" w:styleId="Default">
    <w:name w:val="Default"/>
    <w:rsid w:val="00C2730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E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FE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3129F2037C4A4C921C60A747924ABF" ma:contentTypeVersion="9" ma:contentTypeDescription="Create a new document." ma:contentTypeScope="" ma:versionID="1a4ae04d6c4857c786eb4f3703ba94cc">
  <xsd:schema xmlns:xsd="http://www.w3.org/2001/XMLSchema" xmlns:xs="http://www.w3.org/2001/XMLSchema" xmlns:p="http://schemas.microsoft.com/office/2006/metadata/properties" xmlns:ns3="dd252a66-e1d7-4967-b931-5786ce0a5bad" targetNamespace="http://schemas.microsoft.com/office/2006/metadata/properties" ma:root="true" ma:fieldsID="4066e6b32626310033dfd6d061b461cb" ns3:_="">
    <xsd:import namespace="dd252a66-e1d7-4967-b931-5786ce0a5b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52a66-e1d7-4967-b931-5786ce0a5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DC8BB-6A30-44C7-976C-B2197A7472C6}">
  <ds:schemaRefs>
    <ds:schemaRef ds:uri="http://schemas.microsoft.com/sharepoint/v3/contenttype/forms"/>
  </ds:schemaRefs>
</ds:datastoreItem>
</file>

<file path=customXml/itemProps2.xml><?xml version="1.0" encoding="utf-8"?>
<ds:datastoreItem xmlns:ds="http://schemas.openxmlformats.org/officeDocument/2006/customXml" ds:itemID="{FF9A50D6-AFF3-4129-B101-41C4C72D83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d252a66-e1d7-4967-b931-5786ce0a5bad"/>
    <ds:schemaRef ds:uri="http://www.w3.org/XML/1998/namespace"/>
    <ds:schemaRef ds:uri="http://purl.org/dc/dcmitype/"/>
  </ds:schemaRefs>
</ds:datastoreItem>
</file>

<file path=customXml/itemProps3.xml><?xml version="1.0" encoding="utf-8"?>
<ds:datastoreItem xmlns:ds="http://schemas.openxmlformats.org/officeDocument/2006/customXml" ds:itemID="{DFE2FC26-F7FE-40E9-AD38-7F045CF29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52a66-e1d7-4967-b931-5786ce0a5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Mynott, Josh</dc:creator>
  <cp:lastModifiedBy>Mynott, Josh</cp:lastModifiedBy>
  <cp:revision>2</cp:revision>
  <dcterms:created xsi:type="dcterms:W3CDTF">2021-01-14T16:17:00Z</dcterms:created>
  <dcterms:modified xsi:type="dcterms:W3CDTF">2021-01-14T16:17:00Z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0x010100833129F2037C4A4C921C60A747924ABF</vt:lpwstr>
  </property>
</Properties>
</file>